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DA" w:rsidRDefault="00292B32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rtl/>
        </w:rPr>
        <w:t xml:space="preserve">עבודת מעבר היסטוריה </w:t>
      </w:r>
      <w:r>
        <w:rPr>
          <w:b/>
          <w:sz w:val="28"/>
          <w:szCs w:val="28"/>
          <w:rtl/>
        </w:rPr>
        <w:t xml:space="preserve">– </w:t>
      </w:r>
      <w:r>
        <w:rPr>
          <w:rFonts w:cs="Times New Roman"/>
          <w:b/>
          <w:sz w:val="28"/>
          <w:szCs w:val="28"/>
          <w:rtl/>
        </w:rPr>
        <w:t>קיץ תש</w:t>
      </w:r>
      <w:r>
        <w:rPr>
          <w:b/>
          <w:sz w:val="28"/>
          <w:szCs w:val="28"/>
          <w:rtl/>
        </w:rPr>
        <w:t>"</w:t>
      </w:r>
      <w:r>
        <w:rPr>
          <w:rFonts w:cs="Times New Roman"/>
          <w:b/>
          <w:sz w:val="28"/>
          <w:szCs w:val="28"/>
          <w:rtl/>
        </w:rPr>
        <w:t xml:space="preserve">ף </w:t>
      </w:r>
    </w:p>
    <w:p w:rsidR="007310DA" w:rsidRDefault="00292B32">
      <w:pPr>
        <w:spacing w:after="0" w:line="360" w:lineRule="auto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לפניך ארבע שאלות בנושא לאומיות וציונות</w:t>
      </w:r>
      <w:r>
        <w:rPr>
          <w:sz w:val="28"/>
          <w:szCs w:val="28"/>
          <w:rtl/>
        </w:rPr>
        <w:t xml:space="preserve">. </w:t>
      </w:r>
      <w:r>
        <w:rPr>
          <w:rFonts w:cs="Times New Roman"/>
          <w:sz w:val="28"/>
          <w:szCs w:val="28"/>
          <w:rtl/>
        </w:rPr>
        <w:t>ענה על כולן</w:t>
      </w:r>
      <w:r>
        <w:rPr>
          <w:sz w:val="28"/>
          <w:szCs w:val="28"/>
          <w:rtl/>
        </w:rPr>
        <w:t xml:space="preserve">. </w:t>
      </w:r>
    </w:p>
    <w:p w:rsidR="007310DA" w:rsidRDefault="007310DA">
      <w:pPr>
        <w:spacing w:after="0" w:line="360" w:lineRule="auto"/>
        <w:jc w:val="center"/>
        <w:rPr>
          <w:b/>
          <w:sz w:val="28"/>
          <w:szCs w:val="28"/>
        </w:rPr>
      </w:pPr>
    </w:p>
    <w:p w:rsidR="007310DA" w:rsidRDefault="00292B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u w:val="single"/>
          <w:rtl/>
        </w:rPr>
        <w:t>צמיחת התנועות הלאומיות</w:t>
      </w:r>
    </w:p>
    <w:p w:rsidR="007310DA" w:rsidRDefault="00292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להתפתחות התנועות הלאומיות באירופה במאה ה</w:t>
      </w:r>
      <w:r>
        <w:rPr>
          <w:color w:val="000000"/>
          <w:sz w:val="24"/>
          <w:szCs w:val="24"/>
          <w:rtl/>
        </w:rPr>
        <w:t xml:space="preserve">-19 </w:t>
      </w:r>
      <w:r>
        <w:rPr>
          <w:rFonts w:cs="Times New Roman"/>
          <w:color w:val="000000"/>
          <w:sz w:val="24"/>
          <w:szCs w:val="24"/>
          <w:rtl/>
        </w:rPr>
        <w:t>היו גורמים שונים</w:t>
      </w:r>
      <w:r>
        <w:rPr>
          <w:color w:val="000000"/>
          <w:sz w:val="24"/>
          <w:szCs w:val="24"/>
          <w:rtl/>
        </w:rPr>
        <w:t xml:space="preserve">, </w:t>
      </w:r>
      <w:r>
        <w:rPr>
          <w:rFonts w:cs="Times New Roman"/>
          <w:color w:val="000000"/>
          <w:sz w:val="24"/>
          <w:szCs w:val="24"/>
          <w:rtl/>
        </w:rPr>
        <w:t>ביניהם תנועת ההשכלה ותהליך החילון</w:t>
      </w:r>
      <w:r>
        <w:rPr>
          <w:color w:val="000000"/>
          <w:sz w:val="24"/>
          <w:szCs w:val="24"/>
          <w:rtl/>
        </w:rPr>
        <w:t xml:space="preserve">. </w:t>
      </w:r>
      <w:r>
        <w:rPr>
          <w:rFonts w:cs="Times New Roman"/>
          <w:color w:val="000000"/>
          <w:sz w:val="24"/>
          <w:szCs w:val="24"/>
          <w:rtl/>
        </w:rPr>
        <w:t>הצג גורמים אלה</w:t>
      </w:r>
      <w:r>
        <w:rPr>
          <w:color w:val="000000"/>
          <w:sz w:val="24"/>
          <w:szCs w:val="24"/>
          <w:rtl/>
        </w:rPr>
        <w:t xml:space="preserve">, </w:t>
      </w:r>
      <w:r>
        <w:rPr>
          <w:rFonts w:cs="Times New Roman"/>
          <w:color w:val="000000"/>
          <w:sz w:val="24"/>
          <w:szCs w:val="24"/>
          <w:rtl/>
        </w:rPr>
        <w:t xml:space="preserve">והסבר כיצד הם סייעו להתפתחות </w:t>
      </w:r>
      <w:r>
        <w:rPr>
          <w:rFonts w:cs="Times New Roman"/>
          <w:color w:val="000000"/>
          <w:sz w:val="24"/>
          <w:szCs w:val="24"/>
          <w:rtl/>
        </w:rPr>
        <w:t>התנועות הלאומיות</w:t>
      </w:r>
      <w:r>
        <w:rPr>
          <w:color w:val="000000"/>
          <w:sz w:val="24"/>
          <w:szCs w:val="24"/>
          <w:rtl/>
        </w:rPr>
        <w:t>.</w:t>
      </w:r>
    </w:p>
    <w:p w:rsidR="007310DA" w:rsidRDefault="00292B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נקודות</w:t>
      </w:r>
      <w:r>
        <w:rPr>
          <w:color w:val="000000"/>
          <w:sz w:val="24"/>
          <w:szCs w:val="24"/>
          <w:rtl/>
        </w:rPr>
        <w:t>)</w:t>
      </w:r>
    </w:p>
    <w:p w:rsidR="007310DA" w:rsidRDefault="00292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יש הטוענים כי רעיונות הרומנטיקה סותרים את רעיונות ההשכלה</w:t>
      </w:r>
      <w:r>
        <w:rPr>
          <w:color w:val="000000"/>
          <w:sz w:val="24"/>
          <w:szCs w:val="24"/>
          <w:rtl/>
        </w:rPr>
        <w:t xml:space="preserve">. </w:t>
      </w:r>
      <w:r>
        <w:rPr>
          <w:rFonts w:cs="Times New Roman"/>
          <w:color w:val="000000"/>
          <w:sz w:val="24"/>
          <w:szCs w:val="24"/>
          <w:rtl/>
        </w:rPr>
        <w:t>הסבר מדוע</w:t>
      </w:r>
      <w:r>
        <w:rPr>
          <w:color w:val="000000"/>
          <w:sz w:val="24"/>
          <w:szCs w:val="24"/>
          <w:rtl/>
        </w:rPr>
        <w:t>.</w:t>
      </w:r>
    </w:p>
    <w:p w:rsidR="007310DA" w:rsidRDefault="00292B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נקודות</w:t>
      </w:r>
      <w:r>
        <w:rPr>
          <w:color w:val="000000"/>
          <w:sz w:val="24"/>
          <w:szCs w:val="24"/>
          <w:rtl/>
        </w:rPr>
        <w:t>)</w:t>
      </w:r>
    </w:p>
    <w:p w:rsidR="007310DA" w:rsidRDefault="00292B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u w:val="single"/>
          <w:rtl/>
        </w:rPr>
        <w:t>התפתחות הלאומיות באירופה בסוף המאה ה</w:t>
      </w:r>
      <w:r>
        <w:rPr>
          <w:b/>
          <w:color w:val="000000"/>
          <w:sz w:val="24"/>
          <w:szCs w:val="24"/>
          <w:u w:val="single"/>
          <w:rtl/>
        </w:rPr>
        <w:t xml:space="preserve">-19 </w:t>
      </w:r>
      <w:r>
        <w:rPr>
          <w:rFonts w:cs="Times New Roman"/>
          <w:b/>
          <w:color w:val="000000"/>
          <w:sz w:val="24"/>
          <w:szCs w:val="24"/>
          <w:u w:val="single"/>
          <w:rtl/>
        </w:rPr>
        <w:t>ובתחילת המאה ה</w:t>
      </w:r>
      <w:r>
        <w:rPr>
          <w:b/>
          <w:color w:val="000000"/>
          <w:sz w:val="24"/>
          <w:szCs w:val="24"/>
          <w:u w:val="single"/>
          <w:rtl/>
        </w:rPr>
        <w:t>-20</w:t>
      </w:r>
    </w:p>
    <w:p w:rsidR="007310DA" w:rsidRDefault="00292B32">
      <w:pPr>
        <w:spacing w:after="0"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לפניך שתי מפות של איטליה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 xml:space="preserve">מפה אחת משנת </w:t>
      </w:r>
      <w:r>
        <w:rPr>
          <w:sz w:val="24"/>
          <w:szCs w:val="24"/>
          <w:rtl/>
        </w:rPr>
        <w:t xml:space="preserve">1859, </w:t>
      </w:r>
      <w:r>
        <w:rPr>
          <w:rFonts w:cs="Times New Roman"/>
          <w:sz w:val="24"/>
          <w:szCs w:val="24"/>
          <w:rtl/>
        </w:rPr>
        <w:t>לפני האיחוד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ומפה שניה מהשנים שלאחר האיחוד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 xml:space="preserve">עיין </w:t>
      </w:r>
      <w:r>
        <w:rPr>
          <w:rFonts w:cs="Times New Roman"/>
          <w:sz w:val="24"/>
          <w:szCs w:val="24"/>
          <w:rtl/>
        </w:rPr>
        <w:t>במפות וענה על השאלות שאחריהן</w:t>
      </w:r>
      <w:r>
        <w:rPr>
          <w:sz w:val="24"/>
          <w:szCs w:val="24"/>
          <w:rtl/>
        </w:rPr>
        <w:t>.</w:t>
      </w:r>
    </w:p>
    <w:p w:rsidR="007310DA" w:rsidRDefault="00292B32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1698917" cy="20115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917" cy="2011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 xml:space="preserve">        </w:t>
      </w: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2266950" cy="20193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 xml:space="preserve"> </w:t>
      </w:r>
    </w:p>
    <w:p w:rsidR="007310DA" w:rsidRDefault="00292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 xml:space="preserve">הצג </w:t>
      </w:r>
      <w:r>
        <w:rPr>
          <w:rFonts w:cs="Times New Roman"/>
          <w:color w:val="000000"/>
          <w:sz w:val="24"/>
          <w:szCs w:val="24"/>
          <w:u w:val="single"/>
          <w:rtl/>
        </w:rPr>
        <w:t>שני</w:t>
      </w:r>
      <w:r>
        <w:rPr>
          <w:rFonts w:cs="Times New Roman"/>
          <w:color w:val="000000"/>
          <w:sz w:val="24"/>
          <w:szCs w:val="24"/>
          <w:rtl/>
        </w:rPr>
        <w:t xml:space="preserve"> שינויים שחלו במפת אירופה בסוף המאה ה</w:t>
      </w:r>
      <w:r>
        <w:rPr>
          <w:color w:val="000000"/>
          <w:sz w:val="24"/>
          <w:szCs w:val="24"/>
          <w:rtl/>
        </w:rPr>
        <w:t xml:space="preserve">-19 </w:t>
      </w:r>
      <w:r>
        <w:rPr>
          <w:rFonts w:cs="Times New Roman"/>
          <w:color w:val="000000"/>
          <w:sz w:val="24"/>
          <w:szCs w:val="24"/>
          <w:rtl/>
        </w:rPr>
        <w:t>ובתחילת המאה ה</w:t>
      </w:r>
      <w:r>
        <w:rPr>
          <w:color w:val="000000"/>
          <w:sz w:val="24"/>
          <w:szCs w:val="24"/>
          <w:rtl/>
        </w:rPr>
        <w:t xml:space="preserve">-20 </w:t>
      </w:r>
      <w:r>
        <w:rPr>
          <w:rFonts w:cs="Times New Roman"/>
          <w:color w:val="000000"/>
          <w:sz w:val="24"/>
          <w:szCs w:val="24"/>
          <w:rtl/>
        </w:rPr>
        <w:t>בעקבות פעילות התנועות הלאומיות</w:t>
      </w:r>
      <w:r>
        <w:rPr>
          <w:color w:val="000000"/>
          <w:sz w:val="24"/>
          <w:szCs w:val="24"/>
          <w:rtl/>
        </w:rPr>
        <w:t xml:space="preserve">. </w:t>
      </w:r>
      <w:r>
        <w:rPr>
          <w:rFonts w:cs="Times New Roman"/>
          <w:color w:val="000000"/>
          <w:sz w:val="24"/>
          <w:szCs w:val="24"/>
          <w:rtl/>
        </w:rPr>
        <w:t>בתשובתך</w:t>
      </w:r>
      <w:r>
        <w:rPr>
          <w:rFonts w:cs="Times New Roman"/>
          <w:b/>
          <w:color w:val="000000"/>
          <w:sz w:val="24"/>
          <w:szCs w:val="24"/>
          <w:rtl/>
        </w:rPr>
        <w:t xml:space="preserve"> התייחס למפות שלפניך ולחומר הנלמד בכיתה</w:t>
      </w:r>
      <w:r>
        <w:rPr>
          <w:b/>
          <w:color w:val="000000"/>
          <w:sz w:val="24"/>
          <w:szCs w:val="24"/>
          <w:rtl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7310DA" w:rsidRDefault="00292B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וציין את המסגרות החברתיות החדשות שקמו במקביל</w:t>
      </w:r>
      <w:r>
        <w:rPr>
          <w:color w:val="000000"/>
          <w:sz w:val="24"/>
          <w:szCs w:val="24"/>
          <w:rtl/>
        </w:rPr>
        <w:t xml:space="preserve">. 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  <w:t xml:space="preserve">(15 </w:t>
      </w:r>
      <w:r>
        <w:rPr>
          <w:rFonts w:cs="Times New Roman"/>
          <w:color w:val="000000"/>
          <w:sz w:val="24"/>
          <w:szCs w:val="24"/>
          <w:rtl/>
        </w:rPr>
        <w:t>נקודות</w:t>
      </w:r>
      <w:r>
        <w:rPr>
          <w:color w:val="000000"/>
          <w:sz w:val="24"/>
          <w:szCs w:val="24"/>
          <w:rtl/>
        </w:rPr>
        <w:t>)</w:t>
      </w:r>
    </w:p>
    <w:p w:rsidR="007310DA" w:rsidRDefault="00292B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ב</w:t>
      </w:r>
      <w:r>
        <w:rPr>
          <w:color w:val="000000"/>
          <w:sz w:val="24"/>
          <w:szCs w:val="24"/>
          <w:rtl/>
        </w:rPr>
        <w:t xml:space="preserve">. </w:t>
      </w:r>
      <w:r>
        <w:rPr>
          <w:rFonts w:cs="Times New Roman"/>
          <w:color w:val="000000"/>
          <w:sz w:val="24"/>
          <w:szCs w:val="24"/>
          <w:rtl/>
        </w:rPr>
        <w:t xml:space="preserve">הצג </w:t>
      </w:r>
      <w:r>
        <w:rPr>
          <w:rFonts w:cs="Times New Roman"/>
          <w:color w:val="000000"/>
          <w:sz w:val="24"/>
          <w:szCs w:val="24"/>
          <w:u w:val="single"/>
          <w:rtl/>
        </w:rPr>
        <w:t>שלושה</w:t>
      </w:r>
      <w:r>
        <w:rPr>
          <w:rFonts w:cs="Times New Roman"/>
          <w:color w:val="000000"/>
          <w:sz w:val="24"/>
          <w:szCs w:val="24"/>
          <w:rtl/>
        </w:rPr>
        <w:t xml:space="preserve"> מאפיינים של מנהיגי התנועות הלאומיות באירופה והסבר כיצד </w:t>
      </w:r>
      <w:r>
        <w:rPr>
          <w:rFonts w:cs="Times New Roman"/>
          <w:color w:val="000000"/>
          <w:sz w:val="24"/>
          <w:szCs w:val="24"/>
          <w:u w:val="single"/>
          <w:rtl/>
        </w:rPr>
        <w:t>שניים</w:t>
      </w:r>
      <w:r>
        <w:rPr>
          <w:rFonts w:cs="Times New Roman"/>
          <w:color w:val="000000"/>
          <w:sz w:val="24"/>
          <w:szCs w:val="24"/>
          <w:rtl/>
        </w:rPr>
        <w:t xml:space="preserve"> ממאפיינים אלה באו לידי ביטוי בדמותו של הרצל</w:t>
      </w:r>
      <w:r>
        <w:rPr>
          <w:color w:val="000000"/>
          <w:sz w:val="24"/>
          <w:szCs w:val="24"/>
          <w:rtl/>
        </w:rPr>
        <w:t xml:space="preserve">. 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  <w:t xml:space="preserve">(10 </w:t>
      </w:r>
      <w:r>
        <w:rPr>
          <w:rFonts w:cs="Times New Roman"/>
          <w:color w:val="000000"/>
          <w:sz w:val="24"/>
          <w:szCs w:val="24"/>
          <w:rtl/>
        </w:rPr>
        <w:t>נקודות</w:t>
      </w:r>
      <w:r>
        <w:rPr>
          <w:color w:val="000000"/>
          <w:sz w:val="24"/>
          <w:szCs w:val="24"/>
          <w:rtl/>
        </w:rPr>
        <w:t>)</w:t>
      </w:r>
    </w:p>
    <w:p w:rsidR="007310DA" w:rsidRDefault="007310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  <w:u w:val="single"/>
        </w:rPr>
      </w:pPr>
    </w:p>
    <w:p w:rsidR="007310DA" w:rsidRDefault="00292B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u w:val="single"/>
          <w:rtl/>
        </w:rPr>
        <w:t xml:space="preserve">התפתחות התנועות הלאומיות </w:t>
      </w:r>
    </w:p>
    <w:p w:rsidR="007310DA" w:rsidRDefault="00292B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החילון הוא אחד הגורמים המשותפים לצמיחת התנועות הלאומיות באירופה ולצמיחת התנועה הציונית</w:t>
      </w:r>
      <w:r>
        <w:rPr>
          <w:color w:val="000000"/>
          <w:sz w:val="24"/>
          <w:szCs w:val="24"/>
          <w:rtl/>
        </w:rPr>
        <w:t xml:space="preserve">. </w:t>
      </w:r>
      <w:r>
        <w:rPr>
          <w:rFonts w:cs="Times New Roman"/>
          <w:color w:val="000000"/>
          <w:sz w:val="24"/>
          <w:szCs w:val="24"/>
          <w:rtl/>
        </w:rPr>
        <w:t xml:space="preserve">הסבר כיצד הוא השפיע על </w:t>
      </w:r>
      <w:r>
        <w:rPr>
          <w:rFonts w:cs="Times New Roman"/>
          <w:b/>
          <w:color w:val="000000"/>
          <w:sz w:val="24"/>
          <w:szCs w:val="24"/>
          <w:rtl/>
        </w:rPr>
        <w:t xml:space="preserve">כל אחת </w:t>
      </w:r>
      <w:r>
        <w:rPr>
          <w:rFonts w:cs="Times New Roman"/>
          <w:color w:val="000000"/>
          <w:sz w:val="24"/>
          <w:szCs w:val="24"/>
          <w:rtl/>
        </w:rPr>
        <w:t>מהתנועות האלה</w:t>
      </w:r>
      <w:r>
        <w:rPr>
          <w:color w:val="000000"/>
          <w:sz w:val="24"/>
          <w:szCs w:val="24"/>
          <w:rtl/>
        </w:rPr>
        <w:t xml:space="preserve">. 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  <w:t xml:space="preserve">(12 </w:t>
      </w:r>
      <w:r>
        <w:rPr>
          <w:rFonts w:cs="Times New Roman"/>
          <w:color w:val="000000"/>
          <w:sz w:val="24"/>
          <w:szCs w:val="24"/>
          <w:rtl/>
        </w:rPr>
        <w:t>נקודות</w:t>
      </w:r>
      <w:r>
        <w:rPr>
          <w:color w:val="000000"/>
          <w:sz w:val="24"/>
          <w:szCs w:val="24"/>
          <w:rtl/>
        </w:rPr>
        <w:t>)</w:t>
      </w:r>
    </w:p>
    <w:p w:rsidR="007310DA" w:rsidRDefault="00292B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lastRenderedPageBreak/>
        <w:t xml:space="preserve">הסבר גורם </w:t>
      </w:r>
      <w:r>
        <w:rPr>
          <w:rFonts w:cs="Times New Roman"/>
          <w:color w:val="000000"/>
          <w:sz w:val="24"/>
          <w:szCs w:val="24"/>
          <w:u w:val="single"/>
          <w:rtl/>
        </w:rPr>
        <w:t>אחד</w:t>
      </w:r>
      <w:r>
        <w:rPr>
          <w:rFonts w:cs="Times New Roman"/>
          <w:color w:val="000000"/>
          <w:sz w:val="24"/>
          <w:szCs w:val="24"/>
          <w:rtl/>
        </w:rPr>
        <w:t xml:space="preserve"> ייחודי להקמת התנועה הציונית וכיצד גורם זה מתבטא בספרו של הרצל </w:t>
      </w:r>
      <w:r>
        <w:rPr>
          <w:color w:val="000000"/>
          <w:sz w:val="24"/>
          <w:szCs w:val="24"/>
          <w:rtl/>
        </w:rPr>
        <w:t>"</w:t>
      </w:r>
      <w:r>
        <w:rPr>
          <w:rFonts w:cs="Times New Roman"/>
          <w:color w:val="000000"/>
          <w:sz w:val="24"/>
          <w:szCs w:val="24"/>
          <w:rtl/>
        </w:rPr>
        <w:t>מדינת היהודים</w:t>
      </w:r>
      <w:r>
        <w:rPr>
          <w:color w:val="000000"/>
          <w:sz w:val="24"/>
          <w:szCs w:val="24"/>
          <w:rtl/>
        </w:rPr>
        <w:t xml:space="preserve">". 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  <w:t xml:space="preserve">(13 </w:t>
      </w:r>
      <w:r>
        <w:rPr>
          <w:rFonts w:cs="Times New Roman"/>
          <w:color w:val="000000"/>
          <w:sz w:val="24"/>
          <w:szCs w:val="24"/>
          <w:rtl/>
        </w:rPr>
        <w:t>נקודות</w:t>
      </w:r>
      <w:r>
        <w:rPr>
          <w:color w:val="000000"/>
          <w:sz w:val="24"/>
          <w:szCs w:val="24"/>
          <w:rtl/>
        </w:rPr>
        <w:t>)</w:t>
      </w:r>
    </w:p>
    <w:p w:rsidR="007310DA" w:rsidRDefault="007310DA">
      <w:pPr>
        <w:rPr>
          <w:sz w:val="24"/>
          <w:szCs w:val="24"/>
        </w:rPr>
      </w:pPr>
    </w:p>
    <w:p w:rsidR="007310DA" w:rsidRDefault="00292B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u w:val="single"/>
          <w:rtl/>
        </w:rPr>
        <w:t xml:space="preserve">העליות בשנים </w:t>
      </w:r>
      <w:r>
        <w:rPr>
          <w:b/>
          <w:color w:val="000000"/>
          <w:sz w:val="24"/>
          <w:szCs w:val="24"/>
          <w:u w:val="single"/>
          <w:rtl/>
        </w:rPr>
        <w:t>1914-1881</w:t>
      </w:r>
    </w:p>
    <w:p w:rsidR="007310DA" w:rsidRDefault="00292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 xml:space="preserve">הצג שלושה גורמים לעליות לארץ ישראל בשנים </w:t>
      </w:r>
      <w:r>
        <w:rPr>
          <w:color w:val="000000"/>
          <w:sz w:val="24"/>
          <w:szCs w:val="24"/>
          <w:rtl/>
        </w:rPr>
        <w:t xml:space="preserve">1914-1881. </w:t>
      </w:r>
    </w:p>
    <w:p w:rsidR="007310DA" w:rsidRDefault="00292B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הסבר מהו לדעתך הגורם המשמעותי ביותר שהשפיע על העליה לארץ בשנים אלה</w:t>
      </w:r>
      <w:r>
        <w:rPr>
          <w:color w:val="000000"/>
          <w:sz w:val="24"/>
          <w:szCs w:val="24"/>
          <w:rtl/>
        </w:rPr>
        <w:t xml:space="preserve">. </w:t>
      </w:r>
      <w:r>
        <w:rPr>
          <w:rFonts w:cs="Times New Roman"/>
          <w:color w:val="000000"/>
          <w:sz w:val="24"/>
          <w:szCs w:val="24"/>
          <w:rtl/>
        </w:rPr>
        <w:t>נמק תשובותך</w:t>
      </w:r>
      <w:r>
        <w:rPr>
          <w:color w:val="000000"/>
          <w:sz w:val="24"/>
          <w:szCs w:val="24"/>
          <w:rtl/>
        </w:rPr>
        <w:t xml:space="preserve">. 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  <w:t xml:space="preserve">(15 </w:t>
      </w:r>
      <w:r>
        <w:rPr>
          <w:rFonts w:cs="Times New Roman"/>
          <w:color w:val="000000"/>
          <w:sz w:val="24"/>
          <w:szCs w:val="24"/>
          <w:rtl/>
        </w:rPr>
        <w:t>נקודות</w:t>
      </w:r>
      <w:r>
        <w:rPr>
          <w:color w:val="000000"/>
          <w:sz w:val="24"/>
          <w:szCs w:val="24"/>
          <w:rtl/>
        </w:rPr>
        <w:t>)</w:t>
      </w:r>
    </w:p>
    <w:p w:rsidR="007310DA" w:rsidRDefault="00292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 xml:space="preserve">הצג </w:t>
      </w:r>
      <w:r>
        <w:rPr>
          <w:rFonts w:cs="Times New Roman"/>
          <w:color w:val="000000"/>
          <w:sz w:val="24"/>
          <w:szCs w:val="24"/>
          <w:u w:val="single"/>
          <w:rtl/>
        </w:rPr>
        <w:t>שלושה</w:t>
      </w:r>
      <w:r>
        <w:rPr>
          <w:rFonts w:cs="Times New Roman"/>
          <w:color w:val="000000"/>
          <w:sz w:val="24"/>
          <w:szCs w:val="24"/>
          <w:rtl/>
        </w:rPr>
        <w:t xml:space="preserve"> הבדלים בין המאפיינים של אנשי העליה הראשונה לבין המאפיינים של אנשי העליה השניה</w:t>
      </w:r>
      <w:r>
        <w:rPr>
          <w:color w:val="000000"/>
          <w:sz w:val="24"/>
          <w:szCs w:val="24"/>
          <w:rtl/>
        </w:rPr>
        <w:t xml:space="preserve">. </w:t>
      </w:r>
      <w:r>
        <w:rPr>
          <w:color w:val="000000"/>
          <w:sz w:val="24"/>
          <w:szCs w:val="24"/>
          <w:rtl/>
        </w:rPr>
        <w:tab/>
        <w:t xml:space="preserve">(10 </w:t>
      </w:r>
      <w:r>
        <w:rPr>
          <w:rFonts w:cs="Times New Roman"/>
          <w:color w:val="000000"/>
          <w:sz w:val="24"/>
          <w:szCs w:val="24"/>
          <w:rtl/>
        </w:rPr>
        <w:t>נקודות</w:t>
      </w:r>
      <w:r>
        <w:rPr>
          <w:color w:val="000000"/>
          <w:sz w:val="24"/>
          <w:szCs w:val="24"/>
          <w:rtl/>
        </w:rPr>
        <w:t>)</w:t>
      </w:r>
    </w:p>
    <w:p w:rsidR="007310DA" w:rsidRDefault="007310DA">
      <w:pPr>
        <w:spacing w:after="0" w:line="360" w:lineRule="auto"/>
        <w:rPr>
          <w:sz w:val="24"/>
          <w:szCs w:val="24"/>
        </w:rPr>
      </w:pPr>
    </w:p>
    <w:p w:rsidR="007310DA" w:rsidRDefault="007310DA">
      <w:pPr>
        <w:spacing w:after="0" w:line="360" w:lineRule="auto"/>
        <w:rPr>
          <w:sz w:val="24"/>
          <w:szCs w:val="24"/>
        </w:rPr>
      </w:pPr>
    </w:p>
    <w:p w:rsidR="007310DA" w:rsidRDefault="007310DA">
      <w:pPr>
        <w:spacing w:after="0" w:line="360" w:lineRule="auto"/>
        <w:rPr>
          <w:sz w:val="24"/>
          <w:szCs w:val="24"/>
        </w:rPr>
      </w:pPr>
    </w:p>
    <w:p w:rsidR="007310DA" w:rsidRDefault="00292B32">
      <w:pPr>
        <w:spacing w:after="0" w:line="360" w:lineRule="auto"/>
        <w:jc w:val="center"/>
        <w:rPr>
          <w:sz w:val="36"/>
          <w:szCs w:val="36"/>
        </w:rPr>
      </w:pPr>
      <w:r>
        <w:rPr>
          <w:rFonts w:cs="Times New Roman"/>
          <w:sz w:val="52"/>
          <w:szCs w:val="52"/>
          <w:rtl/>
        </w:rPr>
        <w:t>בהצלחה</w:t>
      </w:r>
      <w:r>
        <w:rPr>
          <w:sz w:val="52"/>
          <w:szCs w:val="52"/>
          <w:rtl/>
        </w:rPr>
        <w:t>!</w:t>
      </w:r>
    </w:p>
    <w:p w:rsidR="007310DA" w:rsidRDefault="00292B32">
      <w:pPr>
        <w:spacing w:after="0" w:line="360" w:lineRule="auto"/>
        <w:jc w:val="center"/>
        <w:rPr>
          <w:sz w:val="36"/>
          <w:szCs w:val="36"/>
        </w:rPr>
      </w:pPr>
      <w:bookmarkStart w:id="1" w:name="_gjdgxs" w:colFirst="0" w:colLast="0"/>
      <w:bookmarkEnd w:id="1"/>
      <w:r>
        <w:rPr>
          <w:rFonts w:cs="Times New Roman"/>
          <w:sz w:val="36"/>
          <w:szCs w:val="36"/>
          <w:rtl/>
        </w:rPr>
        <w:t>צוות היסטוריה</w:t>
      </w:r>
    </w:p>
    <w:sectPr w:rsidR="007310DA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505C"/>
    <w:multiLevelType w:val="multilevel"/>
    <w:tmpl w:val="2474BF34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5FBC"/>
    <w:multiLevelType w:val="multilevel"/>
    <w:tmpl w:val="0D5A83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34B16"/>
    <w:multiLevelType w:val="multilevel"/>
    <w:tmpl w:val="82B01F64"/>
    <w:lvl w:ilvl="0">
      <w:start w:val="13"/>
      <w:numFmt w:val="decimal"/>
      <w:lvlText w:val="(%1"/>
      <w:lvlJc w:val="left"/>
      <w:pPr>
        <w:ind w:left="7560" w:hanging="360"/>
      </w:pPr>
    </w:lvl>
    <w:lvl w:ilvl="1">
      <w:start w:val="1"/>
      <w:numFmt w:val="lowerLetter"/>
      <w:lvlText w:val="%2."/>
      <w:lvlJc w:val="left"/>
      <w:pPr>
        <w:ind w:left="8280" w:hanging="360"/>
      </w:pPr>
    </w:lvl>
    <w:lvl w:ilvl="2">
      <w:start w:val="1"/>
      <w:numFmt w:val="lowerRoman"/>
      <w:lvlText w:val="%3."/>
      <w:lvlJc w:val="right"/>
      <w:pPr>
        <w:ind w:left="9000" w:hanging="180"/>
      </w:pPr>
    </w:lvl>
    <w:lvl w:ilvl="3">
      <w:start w:val="1"/>
      <w:numFmt w:val="decimal"/>
      <w:lvlText w:val="%4."/>
      <w:lvlJc w:val="left"/>
      <w:pPr>
        <w:ind w:left="9720" w:hanging="360"/>
      </w:pPr>
    </w:lvl>
    <w:lvl w:ilvl="4">
      <w:start w:val="1"/>
      <w:numFmt w:val="lowerLetter"/>
      <w:lvlText w:val="%5."/>
      <w:lvlJc w:val="left"/>
      <w:pPr>
        <w:ind w:left="10440" w:hanging="360"/>
      </w:pPr>
    </w:lvl>
    <w:lvl w:ilvl="5">
      <w:start w:val="1"/>
      <w:numFmt w:val="lowerRoman"/>
      <w:lvlText w:val="%6."/>
      <w:lvlJc w:val="right"/>
      <w:pPr>
        <w:ind w:left="11160" w:hanging="180"/>
      </w:pPr>
    </w:lvl>
    <w:lvl w:ilvl="6">
      <w:start w:val="1"/>
      <w:numFmt w:val="decimal"/>
      <w:lvlText w:val="%7."/>
      <w:lvlJc w:val="left"/>
      <w:pPr>
        <w:ind w:left="11880" w:hanging="360"/>
      </w:pPr>
    </w:lvl>
    <w:lvl w:ilvl="7">
      <w:start w:val="1"/>
      <w:numFmt w:val="lowerLetter"/>
      <w:lvlText w:val="%8."/>
      <w:lvlJc w:val="left"/>
      <w:pPr>
        <w:ind w:left="12600" w:hanging="360"/>
      </w:pPr>
    </w:lvl>
    <w:lvl w:ilvl="8">
      <w:start w:val="1"/>
      <w:numFmt w:val="lowerRoman"/>
      <w:lvlText w:val="%9."/>
      <w:lvlJc w:val="right"/>
      <w:pPr>
        <w:ind w:left="13320" w:hanging="180"/>
      </w:pPr>
    </w:lvl>
  </w:abstractNum>
  <w:abstractNum w:abstractNumId="3" w15:restartNumberingAfterBreak="0">
    <w:nsid w:val="3B5E524B"/>
    <w:multiLevelType w:val="multilevel"/>
    <w:tmpl w:val="855829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FA44E4"/>
    <w:multiLevelType w:val="multilevel"/>
    <w:tmpl w:val="44EC9E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61110"/>
    <w:multiLevelType w:val="multilevel"/>
    <w:tmpl w:val="7CF09E48"/>
    <w:lvl w:ilvl="0">
      <w:start w:val="12"/>
      <w:numFmt w:val="decimal"/>
      <w:lvlText w:val="(%1"/>
      <w:lvlJc w:val="left"/>
      <w:pPr>
        <w:ind w:left="7560" w:hanging="360"/>
      </w:pPr>
    </w:lvl>
    <w:lvl w:ilvl="1">
      <w:start w:val="1"/>
      <w:numFmt w:val="lowerLetter"/>
      <w:lvlText w:val="%2."/>
      <w:lvlJc w:val="left"/>
      <w:pPr>
        <w:ind w:left="8280" w:hanging="360"/>
      </w:pPr>
    </w:lvl>
    <w:lvl w:ilvl="2">
      <w:start w:val="1"/>
      <w:numFmt w:val="lowerRoman"/>
      <w:lvlText w:val="%3."/>
      <w:lvlJc w:val="right"/>
      <w:pPr>
        <w:ind w:left="9000" w:hanging="180"/>
      </w:pPr>
    </w:lvl>
    <w:lvl w:ilvl="3">
      <w:start w:val="1"/>
      <w:numFmt w:val="decimal"/>
      <w:lvlText w:val="%4."/>
      <w:lvlJc w:val="left"/>
      <w:pPr>
        <w:ind w:left="9720" w:hanging="360"/>
      </w:pPr>
    </w:lvl>
    <w:lvl w:ilvl="4">
      <w:start w:val="1"/>
      <w:numFmt w:val="lowerLetter"/>
      <w:lvlText w:val="%5."/>
      <w:lvlJc w:val="left"/>
      <w:pPr>
        <w:ind w:left="10440" w:hanging="360"/>
      </w:pPr>
    </w:lvl>
    <w:lvl w:ilvl="5">
      <w:start w:val="1"/>
      <w:numFmt w:val="lowerRoman"/>
      <w:lvlText w:val="%6."/>
      <w:lvlJc w:val="right"/>
      <w:pPr>
        <w:ind w:left="11160" w:hanging="180"/>
      </w:pPr>
    </w:lvl>
    <w:lvl w:ilvl="6">
      <w:start w:val="1"/>
      <w:numFmt w:val="decimal"/>
      <w:lvlText w:val="%7."/>
      <w:lvlJc w:val="left"/>
      <w:pPr>
        <w:ind w:left="11880" w:hanging="360"/>
      </w:pPr>
    </w:lvl>
    <w:lvl w:ilvl="7">
      <w:start w:val="1"/>
      <w:numFmt w:val="lowerLetter"/>
      <w:lvlText w:val="%8."/>
      <w:lvlJc w:val="left"/>
      <w:pPr>
        <w:ind w:left="12600" w:hanging="360"/>
      </w:pPr>
    </w:lvl>
    <w:lvl w:ilvl="8">
      <w:start w:val="1"/>
      <w:numFmt w:val="lowerRoman"/>
      <w:lvlText w:val="%9."/>
      <w:lvlJc w:val="right"/>
      <w:pPr>
        <w:ind w:left="13320" w:hanging="180"/>
      </w:pPr>
    </w:lvl>
  </w:abstractNum>
  <w:abstractNum w:abstractNumId="6" w15:restartNumberingAfterBreak="0">
    <w:nsid w:val="67E21BAF"/>
    <w:multiLevelType w:val="multilevel"/>
    <w:tmpl w:val="8B108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DA"/>
    <w:rsid w:val="00292B32"/>
    <w:rsid w:val="007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21B27-C9F8-4532-B9D6-D930A453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 Hadad</dc:creator>
  <cp:lastModifiedBy>Smadar Hadad</cp:lastModifiedBy>
  <cp:revision>2</cp:revision>
  <dcterms:created xsi:type="dcterms:W3CDTF">2020-06-10T04:16:00Z</dcterms:created>
  <dcterms:modified xsi:type="dcterms:W3CDTF">2020-06-10T04:16:00Z</dcterms:modified>
</cp:coreProperties>
</file>